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24B8" w:rsidR="00D75AD8" w:rsidP="00FB0BB6" w:rsidRDefault="00D75AD8" w14:paraId="5DCD1EEB" w14:textId="36648C52">
      <w:r>
        <w:rPr>
          <w:b/>
          <w:bCs/>
        </w:rPr>
        <w:t xml:space="preserve">IMPORTANT DOCUMENT FOR EXHIBITORS OF LITHIUM-ION BATTERIES </w:t>
      </w:r>
    </w:p>
    <w:p w:rsidR="00D75AD8" w:rsidP="00FB0BB6" w:rsidRDefault="00D75AD8" w14:paraId="1588A130" w14:textId="77777777">
      <w:pPr>
        <w:rPr>
          <w:b/>
          <w:bCs/>
        </w:rPr>
      </w:pPr>
    </w:p>
    <w:p w:rsidR="00FB0BB6" w:rsidP="00FB0BB6" w:rsidRDefault="00FB0BB6" w14:paraId="1FAC6313" w14:textId="2127F903">
      <w:pPr>
        <w:rPr>
          <w:b/>
          <w:bCs/>
        </w:rPr>
      </w:pPr>
      <w:r w:rsidRPr="00FB0BB6">
        <w:rPr>
          <w:b/>
          <w:bCs/>
        </w:rPr>
        <w:t xml:space="preserve">Thermal Runaway Prevention Plan </w:t>
      </w:r>
      <w:r w:rsidR="00A5278C">
        <w:rPr>
          <w:b/>
          <w:bCs/>
        </w:rPr>
        <w:t>for The PTSB Ideal Home Show</w:t>
      </w:r>
    </w:p>
    <w:p w:rsidR="00A5278C" w:rsidP="00FB0BB6" w:rsidRDefault="00A5278C" w14:paraId="2A0E7A94" w14:textId="57D2F0E7">
      <w:pPr>
        <w:rPr>
          <w:b w:val="1"/>
          <w:bCs w:val="1"/>
        </w:rPr>
      </w:pPr>
      <w:r w:rsidRPr="4F599B9D" w:rsidR="0652C539">
        <w:rPr>
          <w:b w:val="1"/>
          <w:bCs w:val="1"/>
        </w:rPr>
        <w:t xml:space="preserve">RDS, </w:t>
      </w:r>
      <w:r w:rsidRPr="4F599B9D" w:rsidR="0652C539">
        <w:rPr>
          <w:b w:val="1"/>
          <w:bCs w:val="1"/>
        </w:rPr>
        <w:t>Simmonscourt</w:t>
      </w:r>
      <w:r w:rsidRPr="4F599B9D" w:rsidR="0652C539">
        <w:rPr>
          <w:b w:val="1"/>
          <w:bCs w:val="1"/>
        </w:rPr>
        <w:t xml:space="preserve">, </w:t>
      </w:r>
      <w:r w:rsidRPr="4F599B9D" w:rsidR="4E92008E">
        <w:rPr>
          <w:b w:val="1"/>
          <w:bCs w:val="1"/>
        </w:rPr>
        <w:t>24</w:t>
      </w:r>
      <w:r w:rsidRPr="4F599B9D" w:rsidR="4E92008E">
        <w:rPr>
          <w:b w:val="1"/>
          <w:bCs w:val="1"/>
          <w:vertAlign w:val="superscript"/>
        </w:rPr>
        <w:t>th</w:t>
      </w:r>
      <w:r w:rsidRPr="4F599B9D" w:rsidR="4E92008E">
        <w:rPr>
          <w:b w:val="1"/>
          <w:bCs w:val="1"/>
        </w:rPr>
        <w:t xml:space="preserve"> – 26</w:t>
      </w:r>
      <w:r w:rsidRPr="4F599B9D" w:rsidR="4E92008E">
        <w:rPr>
          <w:b w:val="1"/>
          <w:bCs w:val="1"/>
          <w:vertAlign w:val="superscript"/>
        </w:rPr>
        <w:t>th</w:t>
      </w:r>
      <w:r w:rsidRPr="4F599B9D" w:rsidR="4E92008E">
        <w:rPr>
          <w:b w:val="1"/>
          <w:bCs w:val="1"/>
        </w:rPr>
        <w:t xml:space="preserve"> </w:t>
      </w:r>
      <w:r w:rsidRPr="4F599B9D" w:rsidR="2D812CE1">
        <w:rPr>
          <w:b w:val="1"/>
          <w:bCs w:val="1"/>
        </w:rPr>
        <w:t>April 202</w:t>
      </w:r>
      <w:r w:rsidRPr="4F599B9D" w:rsidR="39875E74">
        <w:rPr>
          <w:b w:val="1"/>
          <w:bCs w:val="1"/>
        </w:rPr>
        <w:t>6</w:t>
      </w:r>
    </w:p>
    <w:p w:rsidRPr="00FB0BB6" w:rsidR="00D75AD8" w:rsidP="00FB0BB6" w:rsidRDefault="00D75AD8" w14:paraId="06F333C1" w14:textId="77777777">
      <w:pPr>
        <w:rPr>
          <w:b/>
          <w:bCs/>
        </w:rPr>
      </w:pPr>
    </w:p>
    <w:p w:rsidRPr="00FB0BB6" w:rsidR="00FB0BB6" w:rsidP="00FB0BB6" w:rsidRDefault="00FB0BB6" w14:paraId="336180FB" w14:textId="77777777">
      <w:r w:rsidRPr="00FB0BB6">
        <w:rPr>
          <w:b/>
          <w:bCs/>
        </w:rPr>
        <w:t>Understanding Thermal Runaway Risks</w:t>
      </w:r>
    </w:p>
    <w:p w:rsidR="003F6C75" w:rsidP="00FB0BB6" w:rsidRDefault="00D75AD8" w14:paraId="5378AF0C" w14:textId="5B3053A5">
      <w:r>
        <w:t xml:space="preserve">Exhibitors are required to develop a </w:t>
      </w:r>
      <w:r w:rsidRPr="00FB0BB6" w:rsidR="00FB0BB6">
        <w:t xml:space="preserve">Thermal </w:t>
      </w:r>
      <w:r>
        <w:t>R</w:t>
      </w:r>
      <w:r w:rsidRPr="00FB0BB6" w:rsidR="00FB0BB6">
        <w:t>unaway</w:t>
      </w:r>
      <w:r>
        <w:t xml:space="preserve"> plan for stands where</w:t>
      </w:r>
      <w:r w:rsidRPr="00FB0BB6" w:rsidR="00FB0BB6">
        <w:t xml:space="preserve"> lithium-ion batteries</w:t>
      </w:r>
      <w:r>
        <w:t xml:space="preserve"> are located </w:t>
      </w:r>
      <w:r w:rsidR="00D64D9B">
        <w:t xml:space="preserve">to </w:t>
      </w:r>
      <w:r w:rsidRPr="00FB0BB6" w:rsidR="00FB0BB6">
        <w:t xml:space="preserve">prevent </w:t>
      </w:r>
      <w:r w:rsidR="003F6C75">
        <w:t xml:space="preserve">and mitigate </w:t>
      </w:r>
      <w:r w:rsidR="00D64D9B">
        <w:t>the</w:t>
      </w:r>
      <w:r w:rsidR="003F6C75">
        <w:t xml:space="preserve"> </w:t>
      </w:r>
      <w:r w:rsidRPr="00FB0BB6" w:rsidR="00FB0BB6">
        <w:t xml:space="preserve">potential </w:t>
      </w:r>
      <w:r w:rsidR="003F6C75">
        <w:t>ri</w:t>
      </w:r>
      <w:r w:rsidR="00D64D9B">
        <w:t>s</w:t>
      </w:r>
      <w:r w:rsidR="003F6C75">
        <w:t>k</w:t>
      </w:r>
      <w:r w:rsidR="00D64D9B">
        <w:t xml:space="preserve"> of a thermal runaway event and to implementing the following procedures.</w:t>
      </w:r>
    </w:p>
    <w:p w:rsidRPr="00FB0BB6" w:rsidR="00FB0BB6" w:rsidP="00FB0BB6" w:rsidRDefault="00FB0BB6" w14:paraId="4CF51488" w14:textId="77777777">
      <w:r w:rsidRPr="00FB0BB6">
        <w:rPr>
          <w:b/>
          <w:bCs/>
        </w:rPr>
        <w:t>Key Components of a Thermal Runaway Prevention Plan</w:t>
      </w:r>
    </w:p>
    <w:p w:rsidRPr="00FB0BB6" w:rsidR="00FB0BB6" w:rsidP="00FB0BB6" w:rsidRDefault="00FB0BB6" w14:paraId="71218E01" w14:textId="77777777">
      <w:pPr>
        <w:numPr>
          <w:ilvl w:val="0"/>
          <w:numId w:val="1"/>
        </w:numPr>
      </w:pPr>
      <w:r w:rsidRPr="00FB0BB6">
        <w:rPr>
          <w:b/>
          <w:bCs/>
        </w:rPr>
        <w:t>Risk Assessment:</w:t>
      </w:r>
    </w:p>
    <w:p w:rsidRPr="00FB0BB6" w:rsidR="00FB0BB6" w:rsidP="003F6C75" w:rsidRDefault="00FB0BB6" w14:paraId="2F51AC15" w14:textId="56156911">
      <w:pPr>
        <w:numPr>
          <w:ilvl w:val="1"/>
          <w:numId w:val="1"/>
        </w:numPr>
      </w:pPr>
      <w:r w:rsidRPr="00FB0BB6">
        <w:rPr>
          <w:b/>
          <w:bCs/>
        </w:rPr>
        <w:t>Identify potential hazards:</w:t>
      </w:r>
      <w:r w:rsidRPr="00FB0BB6">
        <w:t xml:space="preserve"> </w:t>
      </w:r>
      <w:r w:rsidR="003F6C75">
        <w:t xml:space="preserve">  Exhibitors </w:t>
      </w:r>
      <w:r w:rsidR="00D64D9B">
        <w:t>should</w:t>
      </w:r>
      <w:r w:rsidR="003F6C75">
        <w:t xml:space="preserve"> provide </w:t>
      </w:r>
      <w:r w:rsidR="00D64D9B">
        <w:t xml:space="preserve">the organisers with </w:t>
      </w:r>
      <w:r w:rsidR="003F6C75">
        <w:t xml:space="preserve">details of </w:t>
      </w:r>
      <w:r w:rsidRPr="00FB0BB6">
        <w:t>the types of electronic devices on display, their battery configurations, and any factors that could increase the risk of thermal runaway (e.g., charging stations, ambient temperature).</w:t>
      </w:r>
    </w:p>
    <w:p w:rsidRPr="00FB0BB6" w:rsidR="00FB0BB6" w:rsidP="00FB0BB6" w:rsidRDefault="00FB0BB6" w14:paraId="6B4374DF" w14:textId="77A8EB9A">
      <w:pPr>
        <w:numPr>
          <w:ilvl w:val="1"/>
          <w:numId w:val="1"/>
        </w:numPr>
      </w:pPr>
      <w:r w:rsidRPr="00FB0BB6">
        <w:rPr>
          <w:b/>
          <w:bCs/>
        </w:rPr>
        <w:t>Evaluate likelihood and consequences:</w:t>
      </w:r>
      <w:r w:rsidRPr="00FB0BB6">
        <w:t xml:space="preserve"> </w:t>
      </w:r>
      <w:r w:rsidR="00D64D9B">
        <w:t>D</w:t>
      </w:r>
      <w:r w:rsidRPr="00FB0BB6">
        <w:t>etermine the probability of thermal runaway occurring and the potential severity of the consequences, including property damage, injuries, and public panic.</w:t>
      </w:r>
    </w:p>
    <w:p w:rsidRPr="00FB0BB6" w:rsidR="00FB0BB6" w:rsidP="00FB0BB6" w:rsidRDefault="00FB0BB6" w14:paraId="15E787A6" w14:textId="77777777">
      <w:pPr>
        <w:numPr>
          <w:ilvl w:val="0"/>
          <w:numId w:val="1"/>
        </w:numPr>
      </w:pPr>
      <w:r w:rsidRPr="00FB0BB6">
        <w:rPr>
          <w:b/>
          <w:bCs/>
        </w:rPr>
        <w:t>Prevention Measures:</w:t>
      </w:r>
    </w:p>
    <w:p w:rsidRPr="00FB0BB6" w:rsidR="00FB0BB6" w:rsidP="00FB0BB6" w:rsidRDefault="003F6C75" w14:paraId="6E4BAFDD" w14:textId="052D0118">
      <w:pPr>
        <w:numPr>
          <w:ilvl w:val="1"/>
          <w:numId w:val="1"/>
        </w:numPr>
      </w:pPr>
      <w:r>
        <w:rPr>
          <w:b/>
          <w:bCs/>
        </w:rPr>
        <w:t xml:space="preserve">Exhibitors </w:t>
      </w:r>
      <w:r w:rsidR="00D64D9B">
        <w:rPr>
          <w:b/>
          <w:bCs/>
        </w:rPr>
        <w:t>are</w:t>
      </w:r>
      <w:r>
        <w:rPr>
          <w:b/>
          <w:bCs/>
        </w:rPr>
        <w:t xml:space="preserve"> advised that</w:t>
      </w:r>
      <w:r w:rsidRPr="00FB0BB6" w:rsidR="00FB0BB6">
        <w:rPr>
          <w:b/>
          <w:bCs/>
        </w:rPr>
        <w:t>:</w:t>
      </w:r>
      <w:r w:rsidRPr="00FB0BB6" w:rsidR="00FB0BB6">
        <w:t xml:space="preserve"> </w:t>
      </w:r>
    </w:p>
    <w:p w:rsidRPr="00FB0BB6" w:rsidR="00FB0BB6" w:rsidP="003F6C75" w:rsidRDefault="00FB0BB6" w14:paraId="595C2F20" w14:textId="0968FA87">
      <w:pPr>
        <w:numPr>
          <w:ilvl w:val="2"/>
          <w:numId w:val="1"/>
        </w:numPr>
      </w:pPr>
      <w:r w:rsidRPr="00FB0BB6">
        <w:rPr>
          <w:b/>
          <w:bCs/>
        </w:rPr>
        <w:t>Battery standards:</w:t>
      </w:r>
      <w:r w:rsidRPr="00FB0BB6">
        <w:t xml:space="preserve"> </w:t>
      </w:r>
      <w:r w:rsidR="003F6C75">
        <w:t>A</w:t>
      </w:r>
      <w:r w:rsidRPr="00FB0BB6">
        <w:t xml:space="preserve">ll devices </w:t>
      </w:r>
      <w:r w:rsidR="00D64D9B">
        <w:t xml:space="preserve">must </w:t>
      </w:r>
      <w:r w:rsidRPr="00FB0BB6">
        <w:t>comply with recogni</w:t>
      </w:r>
      <w:r w:rsidR="000824B8">
        <w:t>s</w:t>
      </w:r>
      <w:r w:rsidRPr="00FB0BB6">
        <w:t>ed battery safety standards (e.g., UL, IEC)</w:t>
      </w:r>
      <w:r w:rsidR="003F6C75">
        <w:t xml:space="preserve"> and must a</w:t>
      </w:r>
      <w:r w:rsidRPr="00FB0BB6">
        <w:t>dhere to the manufacturer's recommendations for charging, storage, and usage.</w:t>
      </w:r>
    </w:p>
    <w:p w:rsidRPr="00FB0BB6" w:rsidR="00FB0BB6" w:rsidP="00FB0BB6" w:rsidRDefault="00FB0BB6" w14:paraId="4088C37B" w14:textId="77777777">
      <w:pPr>
        <w:numPr>
          <w:ilvl w:val="1"/>
          <w:numId w:val="1"/>
        </w:numPr>
      </w:pPr>
      <w:r w:rsidRPr="00FB0BB6">
        <w:rPr>
          <w:b/>
          <w:bCs/>
        </w:rPr>
        <w:t>Charging Stations:</w:t>
      </w:r>
      <w:r w:rsidRPr="00FB0BB6">
        <w:t xml:space="preserve"> </w:t>
      </w:r>
    </w:p>
    <w:p w:rsidRPr="00FB0BB6" w:rsidR="00FB0BB6" w:rsidP="00FB0BB6" w:rsidRDefault="00FB0BB6" w14:paraId="59C00BE4" w14:textId="77777777">
      <w:pPr>
        <w:numPr>
          <w:ilvl w:val="2"/>
          <w:numId w:val="1"/>
        </w:numPr>
      </w:pPr>
      <w:r w:rsidRPr="00FB0BB6">
        <w:rPr>
          <w:b/>
          <w:bCs/>
        </w:rPr>
        <w:t>Certified chargers:</w:t>
      </w:r>
      <w:r w:rsidRPr="00FB0BB6">
        <w:t xml:space="preserve"> Use only certified charging stations to prevent overcharging or incorrect voltage.</w:t>
      </w:r>
    </w:p>
    <w:p w:rsidRPr="00FB0BB6" w:rsidR="00FB0BB6" w:rsidP="00FB0BB6" w:rsidRDefault="00FB0BB6" w14:paraId="37950B3C" w14:textId="77777777">
      <w:pPr>
        <w:numPr>
          <w:ilvl w:val="2"/>
          <w:numId w:val="1"/>
        </w:numPr>
      </w:pPr>
      <w:r w:rsidRPr="00FB0BB6">
        <w:rPr>
          <w:b/>
          <w:bCs/>
        </w:rPr>
        <w:t>Supervision:</w:t>
      </w:r>
      <w:r w:rsidRPr="00FB0BB6">
        <w:t xml:space="preserve"> Monitor charging stations to ensure proper usage and address any issues promptly.</w:t>
      </w:r>
    </w:p>
    <w:p w:rsidRPr="00FB0BB6" w:rsidR="00FB0BB6" w:rsidP="00FB0BB6" w:rsidRDefault="00FB0BB6" w14:paraId="6BDCDBBB" w14:textId="77777777">
      <w:pPr>
        <w:numPr>
          <w:ilvl w:val="1"/>
          <w:numId w:val="1"/>
        </w:numPr>
      </w:pPr>
      <w:r w:rsidRPr="00FB0BB6">
        <w:rPr>
          <w:b/>
          <w:bCs/>
        </w:rPr>
        <w:t>Ambient Temperature:</w:t>
      </w:r>
      <w:r w:rsidRPr="00FB0BB6">
        <w:t xml:space="preserve"> </w:t>
      </w:r>
    </w:p>
    <w:p w:rsidRPr="00FB0BB6" w:rsidR="00FB0BB6" w:rsidP="00FB0BB6" w:rsidRDefault="00FB0BB6" w14:paraId="12E67418" w14:textId="77777777">
      <w:pPr>
        <w:numPr>
          <w:ilvl w:val="2"/>
          <w:numId w:val="1"/>
        </w:numPr>
      </w:pPr>
      <w:r w:rsidRPr="00FB0BB6">
        <w:rPr>
          <w:b/>
          <w:bCs/>
        </w:rPr>
        <w:t>Ventilation:</w:t>
      </w:r>
      <w:r w:rsidRPr="00FB0BB6">
        <w:t xml:space="preserve"> Provide adequate ventilation to prevent excessive heat buildup.</w:t>
      </w:r>
    </w:p>
    <w:p w:rsidRPr="00FB0BB6" w:rsidR="00FB0BB6" w:rsidP="00FB0BB6" w:rsidRDefault="00FB0BB6" w14:paraId="2E008A92" w14:textId="1F2BCF78">
      <w:pPr>
        <w:numPr>
          <w:ilvl w:val="2"/>
          <w:numId w:val="1"/>
        </w:numPr>
      </w:pPr>
      <w:r w:rsidRPr="00FB0BB6">
        <w:rPr>
          <w:b/>
          <w:bCs/>
        </w:rPr>
        <w:t>Temperature control:</w:t>
      </w:r>
      <w:r w:rsidRPr="00FB0BB6">
        <w:t xml:space="preserve"> Avoid placing devices near heat sources.</w:t>
      </w:r>
    </w:p>
    <w:p w:rsidRPr="00FB0BB6" w:rsidR="00FB0BB6" w:rsidP="00FB0BB6" w:rsidRDefault="00FB0BB6" w14:paraId="65D0D250" w14:textId="77777777">
      <w:pPr>
        <w:numPr>
          <w:ilvl w:val="1"/>
          <w:numId w:val="1"/>
        </w:numPr>
      </w:pPr>
      <w:r w:rsidRPr="00FB0BB6">
        <w:rPr>
          <w:b/>
          <w:bCs/>
        </w:rPr>
        <w:t>Emergency Response:</w:t>
      </w:r>
      <w:r w:rsidRPr="00FB0BB6">
        <w:t xml:space="preserve"> </w:t>
      </w:r>
    </w:p>
    <w:p w:rsidRPr="00FB0BB6" w:rsidR="00FB0BB6" w:rsidP="00FB0BB6" w:rsidRDefault="00FB0BB6" w14:paraId="172127A6" w14:textId="693F551B">
      <w:pPr>
        <w:numPr>
          <w:ilvl w:val="2"/>
          <w:numId w:val="1"/>
        </w:numPr>
      </w:pPr>
      <w:r w:rsidRPr="00FB0BB6">
        <w:rPr>
          <w:b/>
          <w:bCs/>
        </w:rPr>
        <w:t>Fire extinguishers:</w:t>
      </w:r>
      <w:r w:rsidRPr="00FB0BB6">
        <w:t xml:space="preserve"> </w:t>
      </w:r>
      <w:r w:rsidR="003F6C75">
        <w:t>R</w:t>
      </w:r>
      <w:r w:rsidRPr="00FB0BB6">
        <w:t>eadily accessible fire extinguishers specifically designed for battery fires</w:t>
      </w:r>
      <w:r w:rsidR="003F6C75">
        <w:t xml:space="preserve"> must be available on each stand</w:t>
      </w:r>
      <w:r w:rsidRPr="00FB0BB6">
        <w:t>.</w:t>
      </w:r>
    </w:p>
    <w:p w:rsidRPr="00FB0BB6" w:rsidR="00FB0BB6" w:rsidP="00FB0BB6" w:rsidRDefault="00FB0BB6" w14:paraId="6DFAC3F3" w14:textId="77777777">
      <w:pPr>
        <w:numPr>
          <w:ilvl w:val="2"/>
          <w:numId w:val="1"/>
        </w:numPr>
      </w:pPr>
      <w:r w:rsidRPr="00FB0BB6">
        <w:rPr>
          <w:b/>
          <w:bCs/>
        </w:rPr>
        <w:lastRenderedPageBreak/>
        <w:t>Emergency procedures:</w:t>
      </w:r>
      <w:r w:rsidRPr="00FB0BB6">
        <w:t xml:space="preserve"> Develop clear emergency procedures for staff to follow in case of a thermal runaway incident.</w:t>
      </w:r>
    </w:p>
    <w:p w:rsidRPr="00FB0BB6" w:rsidR="00FB0BB6" w:rsidP="00FB0BB6" w:rsidRDefault="0027209C" w14:paraId="483C2768" w14:textId="661B6E66">
      <w:pPr>
        <w:numPr>
          <w:ilvl w:val="0"/>
          <w:numId w:val="1"/>
        </w:numPr>
      </w:pPr>
      <w:r>
        <w:rPr>
          <w:b/>
          <w:bCs/>
        </w:rPr>
        <w:t xml:space="preserve">Exhibitors Should Undertake </w:t>
      </w:r>
      <w:r w:rsidRPr="00FB0BB6" w:rsidR="00FB0BB6">
        <w:rPr>
          <w:b/>
          <w:bCs/>
        </w:rPr>
        <w:t>Staff Training</w:t>
      </w:r>
      <w:r>
        <w:rPr>
          <w:b/>
          <w:bCs/>
        </w:rPr>
        <w:t xml:space="preserve"> Including</w:t>
      </w:r>
      <w:r w:rsidRPr="00FB0BB6" w:rsidR="00FB0BB6">
        <w:rPr>
          <w:b/>
          <w:bCs/>
        </w:rPr>
        <w:t>:</w:t>
      </w:r>
    </w:p>
    <w:p w:rsidRPr="00FB0BB6" w:rsidR="00FB0BB6" w:rsidP="00FB0BB6" w:rsidRDefault="00FB0BB6" w14:paraId="46C08A70" w14:textId="77777777">
      <w:pPr>
        <w:numPr>
          <w:ilvl w:val="1"/>
          <w:numId w:val="1"/>
        </w:numPr>
      </w:pPr>
      <w:r w:rsidRPr="00FB0BB6">
        <w:rPr>
          <w:b/>
          <w:bCs/>
        </w:rPr>
        <w:t>Awareness:</w:t>
      </w:r>
      <w:r w:rsidRPr="00FB0BB6">
        <w:t xml:space="preserve"> Train staff about the risks of thermal runaway and the importance of following safety procedures.</w:t>
      </w:r>
    </w:p>
    <w:p w:rsidRPr="00FB0BB6" w:rsidR="00FB0BB6" w:rsidP="00FB0BB6" w:rsidRDefault="00FB0BB6" w14:paraId="638BB35E" w14:textId="77777777">
      <w:pPr>
        <w:numPr>
          <w:ilvl w:val="1"/>
          <w:numId w:val="1"/>
        </w:numPr>
      </w:pPr>
      <w:r w:rsidRPr="00FB0BB6">
        <w:rPr>
          <w:b/>
          <w:bCs/>
        </w:rPr>
        <w:t>Response:</w:t>
      </w:r>
      <w:r w:rsidRPr="00FB0BB6">
        <w:t xml:space="preserve"> Provide training on how to identify signs of potential thermal runaway, respond to emergencies, and evacuate the area if necessary.</w:t>
      </w:r>
    </w:p>
    <w:p w:rsidRPr="00FB0BB6" w:rsidR="00FB0BB6" w:rsidP="00FB0BB6" w:rsidRDefault="00FB0BB6" w14:paraId="016CFE56" w14:textId="77777777">
      <w:pPr>
        <w:numPr>
          <w:ilvl w:val="0"/>
          <w:numId w:val="1"/>
        </w:numPr>
      </w:pPr>
      <w:r w:rsidRPr="00FB0BB6">
        <w:rPr>
          <w:b/>
          <w:bCs/>
        </w:rPr>
        <w:t>Incident Response:</w:t>
      </w:r>
    </w:p>
    <w:p w:rsidRPr="00FB0BB6" w:rsidR="00FB0BB6" w:rsidP="00FB0BB6" w:rsidRDefault="00FB0BB6" w14:paraId="4D65CCE8" w14:textId="31DCB104">
      <w:pPr>
        <w:numPr>
          <w:ilvl w:val="1"/>
          <w:numId w:val="1"/>
        </w:numPr>
      </w:pPr>
      <w:r w:rsidRPr="00FB0BB6">
        <w:rPr>
          <w:b/>
          <w:bCs/>
        </w:rPr>
        <w:t>Emergency contacts:</w:t>
      </w:r>
      <w:r w:rsidRPr="00FB0BB6">
        <w:t xml:space="preserve"> Ensure that emergency contact information is readily available</w:t>
      </w:r>
      <w:r w:rsidR="0027209C">
        <w:t xml:space="preserve"> including the organisers office Tel. 01 668 3070</w:t>
      </w:r>
      <w:r w:rsidRPr="00FB0BB6">
        <w:t>.</w:t>
      </w:r>
    </w:p>
    <w:p w:rsidRPr="00FB0BB6" w:rsidR="00FB0BB6" w:rsidP="00D64D9B" w:rsidRDefault="00FB0BB6" w14:paraId="300175E1" w14:textId="2C2F21CB">
      <w:pPr>
        <w:numPr>
          <w:ilvl w:val="1"/>
          <w:numId w:val="1"/>
        </w:numPr>
      </w:pPr>
      <w:r w:rsidRPr="00FB0BB6">
        <w:rPr>
          <w:b/>
          <w:bCs/>
        </w:rPr>
        <w:t>Isolation:</w:t>
      </w:r>
      <w:r w:rsidRPr="00FB0BB6">
        <w:t xml:space="preserve"> If a thermal runaway occurs, </w:t>
      </w:r>
      <w:r w:rsidR="0027209C">
        <w:t xml:space="preserve">exhibitors must </w:t>
      </w:r>
      <w:r w:rsidRPr="00FB0BB6">
        <w:t>isolate the affected area to prevent further damage.</w:t>
      </w:r>
    </w:p>
    <w:p w:rsidRPr="00FB0BB6" w:rsidR="00FB0BB6" w:rsidP="00FB0BB6" w:rsidRDefault="00FB0BB6" w14:paraId="4313FCA0" w14:textId="77777777">
      <w:r w:rsidRPr="00FB0BB6">
        <w:rPr>
          <w:b/>
          <w:bCs/>
        </w:rPr>
        <w:t>Specific Considerations for Consumer Exhibitions</w:t>
      </w:r>
    </w:p>
    <w:p w:rsidRPr="00FB0BB6" w:rsidR="00FB0BB6" w:rsidP="00FB0BB6" w:rsidRDefault="00FB0BB6" w14:paraId="70CF4F54" w14:textId="6597D32F">
      <w:pPr>
        <w:numPr>
          <w:ilvl w:val="0"/>
          <w:numId w:val="2"/>
        </w:numPr>
      </w:pPr>
      <w:r w:rsidRPr="00FB0BB6">
        <w:rPr>
          <w:b/>
          <w:bCs/>
        </w:rPr>
        <w:t>Crowded environments:</w:t>
      </w:r>
      <w:r w:rsidRPr="00FB0BB6">
        <w:t xml:space="preserve"> </w:t>
      </w:r>
      <w:r w:rsidR="0027209C">
        <w:t xml:space="preserve">Exhibitors </w:t>
      </w:r>
      <w:r w:rsidR="00D64D9B">
        <w:t>should familiarise themselves</w:t>
      </w:r>
      <w:r w:rsidR="0027209C">
        <w:t xml:space="preserve"> </w:t>
      </w:r>
      <w:r w:rsidR="00D64D9B">
        <w:t>with</w:t>
      </w:r>
      <w:r w:rsidR="0027209C">
        <w:t xml:space="preserve"> exit locations.</w:t>
      </w:r>
    </w:p>
    <w:p w:rsidRPr="00FB0BB6" w:rsidR="00FB0BB6" w:rsidP="00FB0BB6" w:rsidRDefault="00FB0BB6" w14:paraId="5C23351C" w14:textId="77777777">
      <w:pPr>
        <w:numPr>
          <w:ilvl w:val="0"/>
          <w:numId w:val="2"/>
        </w:numPr>
      </w:pPr>
      <w:r w:rsidRPr="00FB0BB6">
        <w:rPr>
          <w:b/>
          <w:bCs/>
        </w:rPr>
        <w:t>Portable devices:</w:t>
      </w:r>
      <w:r w:rsidRPr="00FB0BB6">
        <w:t xml:space="preserve"> Consider the risks associated with portable devices that may not be adequately monitored.</w:t>
      </w:r>
    </w:p>
    <w:p w:rsidRPr="00FB0BB6" w:rsidR="00FB0BB6" w:rsidP="00FB0BB6" w:rsidRDefault="00FB0BB6" w14:paraId="4DB96D14" w14:textId="304B3E81">
      <w:pPr>
        <w:numPr>
          <w:ilvl w:val="0"/>
          <w:numId w:val="2"/>
        </w:numPr>
      </w:pPr>
      <w:r w:rsidRPr="00FB0BB6">
        <w:rPr>
          <w:b/>
          <w:bCs/>
        </w:rPr>
        <w:t>Charging stations:</w:t>
      </w:r>
      <w:r w:rsidRPr="00FB0BB6">
        <w:t xml:space="preserve"> Implement measures to prevent unauthori</w:t>
      </w:r>
      <w:r w:rsidR="00D64D9B">
        <w:t>s</w:t>
      </w:r>
      <w:r w:rsidRPr="00FB0BB6">
        <w:t>ed charging or misuse of charging stations.</w:t>
      </w:r>
    </w:p>
    <w:p w:rsidR="00FB0BB6" w:rsidP="00FB0BB6" w:rsidRDefault="00FB0BB6" w14:paraId="0C234470" w14:textId="2DA80294">
      <w:r w:rsidRPr="00FB0BB6">
        <w:t xml:space="preserve">By following these guidelines, you can significantly reduce the risk of thermal runaway incidents at your </w:t>
      </w:r>
      <w:r w:rsidR="00D64D9B">
        <w:t>stand</w:t>
      </w:r>
      <w:r w:rsidRPr="00FB0BB6">
        <w:t xml:space="preserve"> and ensure the safety of both exhibitors and attendees.</w:t>
      </w:r>
    </w:p>
    <w:p w:rsidR="00A5278C" w:rsidP="00FB0BB6" w:rsidRDefault="00A5278C" w14:paraId="330A9094" w14:textId="77777777"/>
    <w:p w:rsidRPr="00FB0BB6" w:rsidR="00A5278C" w:rsidP="00FB0BB6" w:rsidRDefault="00A5278C" w14:paraId="7823F6C1" w14:textId="474B3757">
      <w:r>
        <w:t>SDL Exhibitions Ltd</w:t>
      </w:r>
    </w:p>
    <w:sectPr w:rsidRPr="00FB0BB6" w:rsidR="00A5278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020"/>
    <w:multiLevelType w:val="multilevel"/>
    <w:tmpl w:val="94C0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29F41D4"/>
    <w:multiLevelType w:val="multilevel"/>
    <w:tmpl w:val="4922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451849">
    <w:abstractNumId w:val="1"/>
  </w:num>
  <w:num w:numId="2" w16cid:durableId="40372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B6"/>
    <w:rsid w:val="00015097"/>
    <w:rsid w:val="000824B8"/>
    <w:rsid w:val="0027209C"/>
    <w:rsid w:val="002F4985"/>
    <w:rsid w:val="00353F6D"/>
    <w:rsid w:val="003949D1"/>
    <w:rsid w:val="003F6C75"/>
    <w:rsid w:val="00A33979"/>
    <w:rsid w:val="00A5278C"/>
    <w:rsid w:val="00C90BB3"/>
    <w:rsid w:val="00D43DD3"/>
    <w:rsid w:val="00D64D9B"/>
    <w:rsid w:val="00D75AD8"/>
    <w:rsid w:val="00FB0BB6"/>
    <w:rsid w:val="0652C539"/>
    <w:rsid w:val="2D812CE1"/>
    <w:rsid w:val="39875E74"/>
    <w:rsid w:val="4E92008E"/>
    <w:rsid w:val="4F599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5972"/>
  <w15:chartTrackingRefBased/>
  <w15:docId w15:val="{00AB81F6-2496-4B62-840A-DA98C976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B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B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B0B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B0B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B0B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B0BB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B0BB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B0BB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B0BB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B0BB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B0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B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B0B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B0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BB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B0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B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B0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B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0B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35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4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2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94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80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9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53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21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1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5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5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0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7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4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3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06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39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4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9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7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00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65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4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6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0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F7576C48E2B45B935B6C21A17AFD2" ma:contentTypeVersion="13" ma:contentTypeDescription="Create a new document." ma:contentTypeScope="" ma:versionID="dcc489824ea46ff8259456c10ae5d24e">
  <xsd:schema xmlns:xsd="http://www.w3.org/2001/XMLSchema" xmlns:xs="http://www.w3.org/2001/XMLSchema" xmlns:p="http://schemas.microsoft.com/office/2006/metadata/properties" xmlns:ns2="3caa1f1b-51a8-4e4a-9d6d-66d492caa3bf" xmlns:ns3="464974dc-1ce5-4cf9-93ba-6b82a90e39ca" targetNamespace="http://schemas.microsoft.com/office/2006/metadata/properties" ma:root="true" ma:fieldsID="2e9a64128a08fbf1eb9683cf0c88b3dc" ns2:_="" ns3:_="">
    <xsd:import namespace="3caa1f1b-51a8-4e4a-9d6d-66d492caa3bf"/>
    <xsd:import namespace="464974dc-1ce5-4cf9-93ba-6b82a90e3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1f1b-51a8-4e4a-9d6d-66d492caa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03cc29-e579-406d-8800-5c46fe604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74dc-1ce5-4cf9-93ba-6b82a90e39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2d97b4-1944-42e4-ba61-f8a83488fb51}" ma:internalName="TaxCatchAll" ma:showField="CatchAllData" ma:web="464974dc-1ce5-4cf9-93ba-6b82a90e3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a1f1b-51a8-4e4a-9d6d-66d492caa3bf">
      <Terms xmlns="http://schemas.microsoft.com/office/infopath/2007/PartnerControls"/>
    </lcf76f155ced4ddcb4097134ff3c332f>
    <TaxCatchAll xmlns="464974dc-1ce5-4cf9-93ba-6b82a90e39ca" xsi:nil="true"/>
  </documentManagement>
</p:properties>
</file>

<file path=customXml/itemProps1.xml><?xml version="1.0" encoding="utf-8"?>
<ds:datastoreItem xmlns:ds="http://schemas.openxmlformats.org/officeDocument/2006/customXml" ds:itemID="{CBDE464C-A561-42F6-8B90-E08AF1CFD78D}"/>
</file>

<file path=customXml/itemProps2.xml><?xml version="1.0" encoding="utf-8"?>
<ds:datastoreItem xmlns:ds="http://schemas.openxmlformats.org/officeDocument/2006/customXml" ds:itemID="{CDE86EB5-FB6C-4D42-9D6A-7F7DF853C4B4}"/>
</file>

<file path=customXml/itemProps3.xml><?xml version="1.0" encoding="utf-8"?>
<ds:datastoreItem xmlns:ds="http://schemas.openxmlformats.org/officeDocument/2006/customXml" ds:itemID="{A6086CA1-2B57-4CBA-AA32-11174362DE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Lemass</dc:creator>
  <cp:keywords/>
  <dc:description/>
  <cp:lastModifiedBy>Joeleen Ireland</cp:lastModifiedBy>
  <cp:revision>3</cp:revision>
  <dcterms:created xsi:type="dcterms:W3CDTF">2025-02-17T11:18:00Z</dcterms:created>
  <dcterms:modified xsi:type="dcterms:W3CDTF">2026-03-10T09:46:03Z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0x0101002B1F7576C48E2B45B935B6C21A17AFD2</vt:lpwstr>
  </property>
  <property fmtid="{D5CDD505-2E9C-101B-9397-08002B2CF9AE}" pid="3" name="Order">
    <vt:r8>24800</vt:r8>
  </property>
  <property fmtid="{D5CDD505-2E9C-101B-9397-08002B2CF9AE}" pid="4" name="MediaServiceImageTags">
    <vt:lpwstr/>
  </property>
</Properties>
</file>